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天津市滨海新区商务和投资促进局</w:t>
      </w:r>
    </w:p>
    <w:p>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2023年度部门决算</w:t>
      </w: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pPr>
        <w:autoSpaceDE w:val="0"/>
        <w:autoSpaceDN w:val="0"/>
        <w:adjustRightInd w:val="0"/>
        <w:spacing w:line="600" w:lineRule="exact"/>
        <w:jc w:val="left"/>
        <w:rPr>
          <w:rFonts w:ascii="Times New Roman" w:hAnsi="Times New Roman" w:eastAsia="黑体" w:cs="黑体"/>
          <w:kern w:val="0"/>
          <w:sz w:val="30"/>
          <w:szCs w:val="30"/>
          <w:highlight w:val="none"/>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根据中共天津市滨海新区委员会办公室、天津市滨海新区人民政府办公室《天津市滨海新区商务和投资促进局职能配置、内设机构和人员编制规定》（滨党办〔2019〕33 号），天津市滨海新区商务和投资促进局是区政府工作部门，贯彻落实党中央关于商务和投资促进工作的方针政策，贯彻落实党中央、市委和区委关于商务和投资促进工作的决策部署，在履行职责过程中坚持和加强党对商务和投资促进工作的集中统一领导。主要职责是：</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（一）贯彻执行有关国内外贸易、国内国际经济合作、投资促进、会展经济、口岸服务的法律法规和方针政策，制定相关规范性文件，并组织实施。</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二）根据国民经济和社会发展总体规划，组织编制内外贸易、国内国际经济合作、招商引资、投资促进、会展经济中长期产业发展战略、发展规划、行业规范和年度计划，并推进落实；负责研究国内外投资促进政策和发展趋势，提出相关对策和建议；拟订全区开放型经济发展相关政策措施。</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三）推进流通产业结构调整，指导流通企业改革、商贸服务业和社区商业发展，提出促进商贸中小企业发展的政策建议，推动流通标准化和连锁经营、商业特许经营、物流配送、电子商务等现代流通方式的发展；落实药品流通发展规划和政策，推进商贸物流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四）促进城乡市场发展，贯彻执行市场体系建设的相关政策，会同有关部门组织编制、指导、实施商品交易市场规划和城市商业网点规划，推动实施商业体系建设工作，推进农村市场体系建设，组织实施农村现代流通网络工程。</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五）承担牵头协调开展整顿和规范市场经济秩序工作的责任，拟订规范市场运行、流通秩序的措施办法，推动商务领域信用建设，建立健全商务信用激励约束机制，指导商业信用销售，建立商务诚信公共服务平台，按有关规定对特殊流通行业进行监督管理。</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六）承担组织实施重要消费品市场调控和重要生产资料流通管理的责任，负责建立健全生活必需品市场供应应急管理机制，监测分析市场运行、商品供求状况，调查分析商品价格信息，进行预测预警和信息引导，按分工负责重要消费品储备管理和市场调控工作；按有关规定对成品油、煤炭流通及二手车鉴定评估企业、报废机动车回收拆解流通进行监督管理。</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（七）负责指导协调商品进出口贸易促进体系建设，指导和服务加工贸易业务工作，配合市商务局负责进出口公平贸易相关事务。</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（八）负责组织拟订并实施服务贸易（含服务外包）和技术贸易发展的政策措施，推动服务贸易平台建设，落实技术和成套设备进出口政策措施。</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（九）负责对外经济合作促进工作，执行对外经济合作政策，配合市商务局依法管理和监督对外承包工程、对外劳务合作等。</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（十）指导全区经贸外事工作，负责全区重要经贸外事活动。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（十一）承担口岸协调相关工作；负责口岸通关的推进工作，配合开展中国（天津）国际贸易“单一窗口”、压缩整体通关时间、降低进出口环节合规成本有关工作，服务促进跨境贸易便利化。</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十二）负责招商引资工作的统筹指导、推动协调工作，建立完善工作体系和协调机制；组织有关部门落实招商引资计划；负责招商引资工作的统计、综合分析、评价考核等工作；负责招商引资信息化建设。依法监督检查外商投资企业执行有关法律法规规章、合同章程的情况并协调解决有关问题，会同有关部门统筹协调指导国家级、市级开发区有关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十三）综合协调、组织推动本区承担的东西部扶贫协作和对口支援工作；会同有关部门安排对口支援资金；负责援受双方跨地区经济联合重点项目的协调和服务；指导、协调各部门和企业，组织动员社会力量，开展援受双方跨地区经济联合与协作工作；负责东西部扶贫协作和对口支援地区政府代表团来访的联络、协调工作；会同有关部门落实本区政府代表团出访外地的组织、联络、协调、服务工作以及商谈合作事宜的准备工作；会同有关部门落实区域间的合作协议；负责本区企业到外地投资合作的协调服务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十四）牵头组织以区政府名义组团参加跨地区各类经贸洽谈和商品交易等活动。组织或参与承办国内及内外结合的国际经济技术合作活动，开展外引内联招商引资洽谈及展销博览活动。负责商务、投资促进对外宣传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十五）指导和参与全区重点招商引资项目洽谈、协调和督办工作；负责建立、管理和维护产业招商专家库、智库；指导各开发区、园区和街镇等招商工作；做好招商引资重点项目的跟踪服务；分析全区重大招商引资项目推进过程中的矛盾和问题，并提出解决意见和建议；联系相关商会、协会、学会、社会中介机构和社会团体，开展联合招商。</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（十六）统筹规划、指导和协调全区会展业发展。</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（十七）负责本领域安全生产管理，从行业规划、产业政策、法规标准等方面加强本领域安全生产工作，指导督促企事业单位加强安全管理。</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（十八）指导协调商务、投资促进人才队伍建设工作。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（十九）完成区委、区政府交办的其他任务。</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天津市滨海新区商务和投资促进局内设10个职能处室；下辖2个预算单位。纳入天津市滨海新区商务和投资促进局2023年度部门决算编制范围的单位包括：</w:t>
      </w:r>
    </w:p>
    <w:p>
      <w:pPr>
        <w:autoSpaceDE w:val="0"/>
        <w:autoSpaceDN w:val="0"/>
        <w:adjustRightInd w:val="0"/>
        <w:spacing w:line="600" w:lineRule="exact"/>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1.天津市滨海新区商务和投资促进局（</w:t>
      </w:r>
      <w:r>
        <w:rPr>
          <w:rFonts w:hint="eastAsia" w:ascii="Times New Roman" w:hAnsi="Times New Roman" w:eastAsia="仿宋_GB2312" w:cs="仿宋_GB2312"/>
          <w:sz w:val="30"/>
          <w:szCs w:val="30"/>
          <w:highlight w:val="none"/>
          <w:lang w:val="en-US" w:eastAsia="zh-CN"/>
        </w:rPr>
        <w:t>本级</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2.天津市滨海新区投资促进中心</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3.天津市滨海新区供销合作社联合社</w:t>
      </w:r>
    </w:p>
    <w:p>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pPr>
        <w:autoSpaceDE w:val="0"/>
        <w:autoSpaceDN w:val="0"/>
        <w:adjustRightInd w:val="0"/>
        <w:spacing w:line="600" w:lineRule="exact"/>
        <w:jc w:val="left"/>
        <w:rPr>
          <w:rFonts w:ascii="Times New Roman" w:hAnsi="Times New Roman" w:eastAsia="黑体" w:cs="黑体"/>
          <w:b w:val="0"/>
          <w:bCs w:val="0"/>
          <w:kern w:val="0"/>
          <w:sz w:val="30"/>
          <w:szCs w:val="30"/>
          <w:highlight w:val="none"/>
        </w:rPr>
      </w:pPr>
      <w:r>
        <w:rPr>
          <w:rFonts w:ascii="Times New Roman" w:hAnsi="Times New Roman" w:eastAsia="楷体" w:cs="Times New Roman"/>
          <w:b w:val="0"/>
          <w:bCs w:val="0"/>
          <w:kern w:val="0"/>
          <w:sz w:val="24"/>
          <w:szCs w:val="24"/>
          <w:highlight w:val="none"/>
        </w:rPr>
        <w:br w:type="page"/>
      </w:r>
      <w:r>
        <w:rPr>
          <w:rFonts w:hint="eastAsia" w:ascii="Times New Roman" w:hAnsi="Times New Roman" w:eastAsia="黑体" w:cs="黑体"/>
          <w:b w:val="0"/>
          <w:bCs w:val="0"/>
          <w:kern w:val="0"/>
          <w:sz w:val="30"/>
          <w:szCs w:val="30"/>
          <w:highlight w:val="none"/>
        </w:rPr>
        <w:t>十二、关于空表的说明</w:t>
      </w:r>
    </w:p>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1.天津市滨海新区商务和投资促进局2023年度政府性基金预算财政拨款收入支出决算表为空表。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2.天津市滨海新区商务和投资促进局2023年度国有资本经营预算财政拨款收入支出决算表为空表。</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天津市滨海新区商务和投资促进局2023年度收入、支出决算总计</w:t>
      </w:r>
      <w:r>
        <w:rPr>
          <w:rFonts w:hint="eastAsia" w:ascii="Times New Roman" w:hAnsi="Times New Roman" w:eastAsia="仿宋_GB2312" w:cs="仿宋_GB2312"/>
          <w:sz w:val="30"/>
          <w:szCs w:val="30"/>
          <w:highlight w:val="none"/>
          <w:lang w:eastAsia="zh-CN"/>
        </w:rPr>
        <w:t>151,122,564.83元，与2022年度相比，收、支总计各减少50,495,347.11元，下降25.05%，</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：2022年本部门承担了滨海新区部分疫情防控工作，2023年项目减少，相关收入支出减少。</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天津市滨海新区商务和投资促进局</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150,822,564.83</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减少50,495,347.11</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2022年本部门承担了滨海新区部分疫情防控工作，2023年项目减少，相关收入减少。</w:t>
      </w:r>
    </w:p>
    <w:p>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150,822,564.83</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100.0</w:t>
      </w:r>
      <w:r>
        <w:rPr>
          <w:rFonts w:hint="eastAsia" w:ascii="Times New Roman" w:hAnsi="Times New Roman" w:eastAsia="仿宋_GB2312" w:cs="Times New Roman"/>
          <w:sz w:val="30"/>
          <w:szCs w:val="30"/>
          <w:highlight w:val="none"/>
          <w:lang w:val="en-US" w:eastAsia="zh-CN"/>
        </w:rPr>
        <w:t>0</w:t>
      </w:r>
      <w:r>
        <w:rPr>
          <w:rFonts w:hint="eastAsia" w:ascii="Times New Roman" w:hAnsi="Times New Roman" w:eastAsia="宋体" w:cs="Times New Roman"/>
          <w:sz w:val="30"/>
          <w:szCs w:val="30"/>
          <w:highlight w:val="none"/>
          <w:lang w:eastAsia="zh-CN"/>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天津市滨海新区商务和投资促进局</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150,822,564.83</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50,495,347.11</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2022年本部门承担了滨海新区部分疫情防控工作，2023年项目减少，相关支出减少。</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46,974,898.24元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31.15</w:t>
      </w:r>
      <w:r>
        <w:rPr>
          <w:rFonts w:hint="eastAsia" w:ascii="Times New Roman" w:hAnsi="Times New Roman" w:eastAsia="仿宋_GB2312" w:cs="仿宋_GB2312"/>
          <w:sz w:val="30"/>
          <w:szCs w:val="30"/>
          <w:highlight w:val="none"/>
          <w:lang w:eastAsia="zh-CN"/>
        </w:rPr>
        <w:t>%；</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103,847,666.59元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占68.85%。</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天津市滨海新区商务和投资促进局</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151,122,564.83</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47,263,311.99</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sz w:val="30"/>
          <w:szCs w:val="30"/>
          <w:highlight w:val="none"/>
          <w:lang w:eastAsia="zh-CN"/>
        </w:rPr>
        <w:t>23.82</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2022年本部门承担了滨海新区部分疫情防控工作，2023年项目减少，相关收入支出减少。</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天津市滨海新区商务和投资促进局2023年度部门决算一般公共预算财政拨款支出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计150,822,564.83元，占本年支出合计的100.0</w:t>
      </w:r>
      <w:r>
        <w:rPr>
          <w:rFonts w:hint="eastAsia" w:ascii="Times New Roman" w:hAnsi="Times New Roman" w:eastAsia="仿宋_GB2312" w:cs="仿宋_GB2312"/>
          <w:sz w:val="30"/>
          <w:szCs w:val="30"/>
          <w:highlight w:val="none"/>
          <w:lang w:val="en-US" w:eastAsia="zh-CN"/>
        </w:rPr>
        <w:t>0</w:t>
      </w:r>
      <w:r>
        <w:rPr>
          <w:rFonts w:hint="eastAsia" w:ascii="Times New Roman" w:hAnsi="Times New Roman" w:eastAsia="仿宋_GB2312" w:cs="仿宋_GB2312"/>
          <w:sz w:val="30"/>
          <w:szCs w:val="30"/>
          <w:highlight w:val="none"/>
          <w:lang w:eastAsia="zh-CN"/>
        </w:rPr>
        <w:t>%，与2022年度相比，一般公共预算财政拨款支出</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47,263,311.99元，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sz w:val="30"/>
          <w:szCs w:val="30"/>
          <w:highlight w:val="none"/>
          <w:lang w:eastAsia="zh-CN"/>
        </w:rPr>
        <w:t>23.86%，</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：2022年本部门承担了滨海新区部分疫情防控工作，2023年项目减少，相关支出减少。</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150,822,564.83</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一般公共服务支出44</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883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937.51元，占29.76%；科学技术支出998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864.4元，占0.66%；卫生健康支出7</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411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200元，占4.92%；商业服务业等支出97</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528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562.92元，占64.66%</w:t>
      </w:r>
    </w:p>
    <w:p>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59,014,100.00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150,822,564.83</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255.57%</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1. 一般公共服务支出（类）商贸事务（款）行政运行（项）年初预算为34</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705</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300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元，支出决算为36</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634</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096.5</w:t>
      </w:r>
      <w:r>
        <w:rPr>
          <w:rFonts w:hint="eastAsia" w:ascii="Times New Roman" w:hAnsi="Times New Roman" w:eastAsia="仿宋_GB2312" w:cs="仿宋_GB2312"/>
          <w:sz w:val="30"/>
          <w:szCs w:val="30"/>
          <w:highlight w:val="none"/>
          <w:lang w:val="en-US" w:eastAsia="zh-CN"/>
        </w:rPr>
        <w:t>0</w:t>
      </w:r>
      <w:r>
        <w:rPr>
          <w:rFonts w:hint="eastAsia" w:ascii="Times New Roman" w:hAnsi="Times New Roman" w:eastAsia="仿宋_GB2312" w:cs="仿宋_GB2312"/>
          <w:sz w:val="30"/>
          <w:szCs w:val="30"/>
          <w:highlight w:val="none"/>
          <w:lang w:eastAsia="zh-CN"/>
        </w:rPr>
        <w:t>元，完成年初预算的105.56%，决算数大于年初预算数的主要原因是人员晋级进档。</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2. 一般公共服务支出（类）商贸事务（款）事业运行（项）年初预算为5</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828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800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元，支出决算为6</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349</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841.01元，完成年初预算的108.94%，决算数大于年初预算数的主要原因是事业单位人员增加。</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3. 一般公共服务支出（类）商贸事务（款）其他商贸事务支出（项）年初预算为900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color w:val="auto"/>
          <w:sz w:val="30"/>
          <w:szCs w:val="30"/>
          <w:highlight w:val="none"/>
          <w:lang w:val="en-US" w:eastAsia="zh-CN"/>
        </w:rPr>
        <w:t>00</w:t>
      </w:r>
      <w:r>
        <w:rPr>
          <w:rFonts w:hint="eastAsia" w:ascii="Times New Roman" w:hAnsi="Times New Roman" w:eastAsia="仿宋_GB2312" w:cs="仿宋_GB2312"/>
          <w:color w:val="auto"/>
          <w:sz w:val="30"/>
          <w:szCs w:val="30"/>
          <w:highlight w:val="none"/>
          <w:lang w:eastAsia="zh-CN"/>
        </w:rPr>
        <w:t>元，</w:t>
      </w:r>
      <w:r>
        <w:rPr>
          <w:rFonts w:hint="eastAsia" w:ascii="Times New Roman" w:hAnsi="Times New Roman" w:eastAsia="仿宋_GB2312" w:cs="仿宋_GB2312"/>
          <w:color w:val="auto"/>
          <w:sz w:val="30"/>
          <w:szCs w:val="30"/>
        </w:rPr>
        <w:t>追加预算</w:t>
      </w:r>
      <w:r>
        <w:rPr>
          <w:rFonts w:ascii="Times New Roman" w:hAnsi="Times New Roman" w:eastAsia="仿宋_GB2312" w:cs="Times New Roman"/>
          <w:color w:val="auto"/>
          <w:sz w:val="30"/>
          <w:szCs w:val="30"/>
        </w:rPr>
        <w:t>1,000,000</w:t>
      </w:r>
      <w:r>
        <w:rPr>
          <w:rFonts w:hint="eastAsia" w:ascii="Times New Roman" w:hAnsi="Times New Roman" w:eastAsia="仿宋_GB2312" w:cs="Times New Roman"/>
          <w:color w:val="auto"/>
          <w:sz w:val="30"/>
          <w:szCs w:val="30"/>
          <w:lang w:val="en-US" w:eastAsia="zh-CN"/>
        </w:rPr>
        <w:t>.00</w:t>
      </w:r>
      <w:r>
        <w:rPr>
          <w:rFonts w:hint="eastAsia" w:ascii="Times New Roman" w:hAnsi="Times New Roman" w:eastAsia="仿宋_GB2312" w:cs="仿宋_GB2312"/>
          <w:color w:val="auto"/>
          <w:sz w:val="30"/>
          <w:szCs w:val="30"/>
        </w:rPr>
        <w:t>元</w:t>
      </w:r>
      <w:r>
        <w:rPr>
          <w:rFonts w:hint="eastAsia" w:ascii="Times New Roman" w:hAnsi="Times New Roman" w:eastAsia="仿宋_GB2312" w:cs="仿宋_GB2312"/>
          <w:color w:val="auto"/>
          <w:sz w:val="30"/>
          <w:szCs w:val="30"/>
          <w:lang w:eastAsia="zh-CN"/>
        </w:rPr>
        <w:t>，</w:t>
      </w:r>
      <w:r>
        <w:rPr>
          <w:rFonts w:hint="eastAsia" w:ascii="Times New Roman" w:hAnsi="Times New Roman" w:eastAsia="仿宋_GB2312" w:cs="仿宋_GB2312"/>
          <w:color w:val="auto"/>
          <w:sz w:val="30"/>
          <w:szCs w:val="30"/>
          <w:highlight w:val="none"/>
          <w:lang w:eastAsia="zh-CN"/>
        </w:rPr>
        <w:t>支出决算为1</w:t>
      </w:r>
      <w:r>
        <w:rPr>
          <w:rFonts w:hint="eastAsia" w:ascii="Times New Roman" w:hAnsi="Times New Roman" w:eastAsia="仿宋_GB2312" w:cs="仿宋_GB2312"/>
          <w:color w:val="auto"/>
          <w:sz w:val="30"/>
          <w:szCs w:val="30"/>
          <w:highlight w:val="none"/>
          <w:lang w:val="en-US" w:eastAsia="zh-CN"/>
        </w:rPr>
        <w:t>,</w:t>
      </w:r>
      <w:r>
        <w:rPr>
          <w:rFonts w:hint="eastAsia" w:ascii="Times New Roman" w:hAnsi="Times New Roman" w:eastAsia="仿宋_GB2312" w:cs="仿宋_GB2312"/>
          <w:color w:val="auto"/>
          <w:sz w:val="30"/>
          <w:szCs w:val="30"/>
          <w:highlight w:val="none"/>
          <w:lang w:eastAsia="zh-CN"/>
        </w:rPr>
        <w:t>900</w:t>
      </w:r>
      <w:r>
        <w:rPr>
          <w:rFonts w:hint="eastAsia" w:ascii="Times New Roman" w:hAnsi="Times New Roman" w:eastAsia="仿宋_GB2312" w:cs="仿宋_GB2312"/>
          <w:color w:val="auto"/>
          <w:sz w:val="30"/>
          <w:szCs w:val="30"/>
          <w:highlight w:val="none"/>
          <w:lang w:val="en-US" w:eastAsia="zh-CN"/>
        </w:rPr>
        <w:t>,</w:t>
      </w:r>
      <w:r>
        <w:rPr>
          <w:rFonts w:hint="eastAsia" w:ascii="Times New Roman" w:hAnsi="Times New Roman" w:eastAsia="仿宋_GB2312" w:cs="仿宋_GB2312"/>
          <w:color w:val="auto"/>
          <w:sz w:val="30"/>
          <w:szCs w:val="30"/>
          <w:highlight w:val="none"/>
          <w:lang w:eastAsia="zh-CN"/>
        </w:rPr>
        <w:t>000</w:t>
      </w:r>
      <w:r>
        <w:rPr>
          <w:rFonts w:hint="eastAsia" w:ascii="Times New Roman" w:hAnsi="Times New Roman" w:eastAsia="仿宋_GB2312" w:cs="仿宋_GB2312"/>
          <w:color w:val="auto"/>
          <w:sz w:val="30"/>
          <w:szCs w:val="30"/>
          <w:highlight w:val="none"/>
          <w:lang w:val="en-US" w:eastAsia="zh-CN"/>
        </w:rPr>
        <w:t>.00</w:t>
      </w:r>
      <w:r>
        <w:rPr>
          <w:rFonts w:hint="eastAsia" w:ascii="Times New Roman" w:hAnsi="Times New Roman" w:eastAsia="仿宋_GB2312" w:cs="仿宋_GB2312"/>
          <w:color w:val="auto"/>
          <w:sz w:val="30"/>
          <w:szCs w:val="30"/>
          <w:highlight w:val="none"/>
          <w:lang w:eastAsia="zh-CN"/>
        </w:rPr>
        <w:t>元，完成年初预算的211.11%，决算数大于年初预算数的主要原因是追加</w:t>
      </w:r>
      <w:r>
        <w:rPr>
          <w:rFonts w:hint="eastAsia" w:ascii="Times New Roman" w:hAnsi="Times New Roman" w:eastAsia="仿宋_GB2312" w:cs="仿宋_GB2312"/>
          <w:color w:val="auto"/>
          <w:sz w:val="30"/>
          <w:szCs w:val="30"/>
          <w:highlight w:val="none"/>
          <w:lang w:val="en-US" w:eastAsia="zh-CN"/>
        </w:rPr>
        <w:t>预算</w:t>
      </w:r>
      <w:r>
        <w:rPr>
          <w:rFonts w:ascii="Times New Roman" w:hAnsi="Times New Roman" w:eastAsia="仿宋_GB2312" w:cs="Times New Roman"/>
          <w:color w:val="auto"/>
          <w:sz w:val="30"/>
          <w:szCs w:val="30"/>
        </w:rPr>
        <w:t>1,000,000</w:t>
      </w:r>
      <w:r>
        <w:rPr>
          <w:rFonts w:hint="eastAsia" w:ascii="Times New Roman" w:hAnsi="Times New Roman" w:eastAsia="仿宋_GB2312" w:cs="Times New Roman"/>
          <w:color w:val="auto"/>
          <w:sz w:val="30"/>
          <w:szCs w:val="30"/>
          <w:lang w:val="en-US" w:eastAsia="zh-CN"/>
        </w:rPr>
        <w:t>.00</w:t>
      </w:r>
      <w:r>
        <w:rPr>
          <w:rFonts w:hint="eastAsia" w:ascii="Times New Roman" w:hAnsi="Times New Roman" w:eastAsia="仿宋_GB2312" w:cs="仿宋_GB2312"/>
          <w:color w:val="auto"/>
          <w:sz w:val="30"/>
          <w:szCs w:val="30"/>
        </w:rPr>
        <w:t>元</w:t>
      </w:r>
      <w:r>
        <w:rPr>
          <w:rFonts w:hint="eastAsia" w:ascii="Times New Roman" w:hAnsi="Times New Roman" w:eastAsia="仿宋_GB2312" w:cs="仿宋_GB2312"/>
          <w:color w:val="auto"/>
          <w:sz w:val="30"/>
          <w:szCs w:val="30"/>
          <w:lang w:val="en-US" w:eastAsia="zh-CN"/>
        </w:rPr>
        <w:t>,</w:t>
      </w:r>
      <w:r>
        <w:rPr>
          <w:rFonts w:hint="eastAsia" w:ascii="Times New Roman" w:hAnsi="Times New Roman" w:eastAsia="仿宋_GB2312" w:cs="仿宋_GB2312"/>
          <w:color w:val="auto"/>
          <w:sz w:val="30"/>
          <w:szCs w:val="30"/>
          <w:highlight w:val="none"/>
          <w:lang w:eastAsia="zh-CN"/>
        </w:rPr>
        <w:t>用于生态论坛相关经费。</w:t>
      </w:r>
      <w:r>
        <w:rPr>
          <w:rFonts w:hint="eastAsia" w:ascii="Times New Roman" w:hAnsi="Times New Roman" w:eastAsia="仿宋_GB2312" w:cs="仿宋_GB2312"/>
          <w:color w:val="auto"/>
          <w:sz w:val="30"/>
          <w:szCs w:val="30"/>
          <w:highlight w:val="none"/>
          <w:lang w:eastAsia="zh-CN"/>
        </w:rPr>
        <w:br w:type="textWrapping"/>
      </w:r>
      <w:r>
        <w:rPr>
          <w:rFonts w:hint="eastAsia" w:ascii="Times New Roman" w:hAnsi="Times New Roman" w:eastAsia="仿宋_GB2312" w:cs="仿宋_GB2312"/>
          <w:color w:val="auto"/>
          <w:sz w:val="30"/>
          <w:szCs w:val="30"/>
          <w:highlight w:val="none"/>
          <w:lang w:eastAsia="zh-CN"/>
        </w:rPr>
        <w:t>4. 科学技术支出（类）科技交流与合作（</w:t>
      </w:r>
      <w:r>
        <w:rPr>
          <w:rFonts w:hint="eastAsia" w:ascii="Times New Roman" w:hAnsi="Times New Roman" w:eastAsia="仿宋_GB2312" w:cs="仿宋_GB2312"/>
          <w:sz w:val="30"/>
          <w:szCs w:val="30"/>
          <w:highlight w:val="none"/>
          <w:lang w:eastAsia="zh-CN"/>
        </w:rPr>
        <w:t>款）其他科技交流与合作支出（项）年初预算为0.00元，追加预算为998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864.4</w:t>
      </w:r>
      <w:r>
        <w:rPr>
          <w:rFonts w:hint="eastAsia" w:ascii="Times New Roman" w:hAnsi="Times New Roman" w:eastAsia="仿宋_GB2312" w:cs="仿宋_GB2312"/>
          <w:sz w:val="30"/>
          <w:szCs w:val="30"/>
          <w:highlight w:val="none"/>
          <w:lang w:val="en-US" w:eastAsia="zh-CN"/>
        </w:rPr>
        <w:t>0</w:t>
      </w:r>
      <w:r>
        <w:rPr>
          <w:rFonts w:hint="eastAsia" w:ascii="Times New Roman" w:hAnsi="Times New Roman" w:eastAsia="仿宋_GB2312" w:cs="仿宋_GB2312"/>
          <w:sz w:val="30"/>
          <w:szCs w:val="30"/>
          <w:highlight w:val="none"/>
          <w:lang w:eastAsia="zh-CN"/>
        </w:rPr>
        <w:t>元，支出决算为998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864.4</w:t>
      </w:r>
      <w:r>
        <w:rPr>
          <w:rFonts w:hint="eastAsia" w:ascii="Times New Roman" w:hAnsi="Times New Roman" w:eastAsia="仿宋_GB2312" w:cs="仿宋_GB2312"/>
          <w:sz w:val="30"/>
          <w:szCs w:val="30"/>
          <w:highlight w:val="none"/>
          <w:lang w:val="en-US" w:eastAsia="zh-CN"/>
        </w:rPr>
        <w:t>0</w:t>
      </w:r>
      <w:r>
        <w:rPr>
          <w:rFonts w:hint="eastAsia" w:ascii="Times New Roman" w:hAnsi="Times New Roman" w:eastAsia="仿宋_GB2312" w:cs="仿宋_GB2312"/>
          <w:sz w:val="30"/>
          <w:szCs w:val="30"/>
          <w:highlight w:val="none"/>
          <w:lang w:eastAsia="zh-CN"/>
        </w:rPr>
        <w:t>元，完成追加预算的100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 xml:space="preserve"> %，决算数大于年初预算数的主要原因是追加预算用于举办世界智能大会项目支出。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5. 卫生健康支出（类）公共卫生（款）突发公共卫生事件应急处理（项）年初预算为0.00元，追加预算为7</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411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200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元，支出决算为7</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411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200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元，完成追加预算的100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%，决算数大于年初预算数的主要原因是追加预算用于疫情防控专项资金。</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6. 商业服务业等支出（类）商业流通事务（款）事业运行（项）年初预算为4</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元，支出决算为3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990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960.73元，完成年初预算的99.77%，决算数与年初预算数基本持平。</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7. 商业服务业等支出（类）商业流通事务（款）其他商业流通事务支出（项）年初预算为13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580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w:t>
      </w:r>
      <w:r>
        <w:rPr>
          <w:rFonts w:hint="eastAsia" w:ascii="Times New Roman" w:hAnsi="Times New Roman" w:eastAsia="仿宋_GB2312" w:cs="仿宋_GB2312"/>
          <w:color w:val="auto"/>
          <w:sz w:val="30"/>
          <w:szCs w:val="30"/>
        </w:rPr>
        <w:t>追加预算</w:t>
      </w:r>
      <w:r>
        <w:rPr>
          <w:rFonts w:ascii="Times New Roman" w:hAnsi="Times New Roman" w:eastAsia="仿宋_GB2312" w:cs="Times New Roman"/>
          <w:color w:val="auto"/>
          <w:sz w:val="30"/>
          <w:szCs w:val="30"/>
        </w:rPr>
        <w:t>74,957,602.19</w:t>
      </w:r>
      <w:r>
        <w:rPr>
          <w:rFonts w:hint="eastAsia" w:ascii="Times New Roman" w:hAnsi="Times New Roman" w:eastAsia="仿宋_GB2312" w:cs="仿宋_GB2312"/>
          <w:color w:val="auto"/>
          <w:sz w:val="30"/>
          <w:szCs w:val="30"/>
        </w:rPr>
        <w:t>元，</w:t>
      </w:r>
      <w:r>
        <w:rPr>
          <w:rFonts w:hint="eastAsia" w:ascii="Times New Roman" w:hAnsi="Times New Roman" w:eastAsia="仿宋_GB2312" w:cs="仿宋_GB2312"/>
          <w:sz w:val="30"/>
          <w:szCs w:val="30"/>
          <w:highlight w:val="none"/>
          <w:lang w:eastAsia="zh-CN"/>
        </w:rPr>
        <w:t>支出决算为88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537</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60</w:t>
      </w:r>
      <w:r>
        <w:rPr>
          <w:rFonts w:hint="eastAsia" w:ascii="Times New Roman" w:hAnsi="Times New Roman" w:eastAsia="仿宋_GB2312" w:cs="仿宋_GB2312"/>
          <w:color w:val="auto"/>
          <w:sz w:val="30"/>
          <w:szCs w:val="30"/>
          <w:highlight w:val="none"/>
          <w:lang w:eastAsia="zh-CN"/>
        </w:rPr>
        <w:t>2.19元，完成年初预算的651.97 %，决算数大于年初预算数的主要原因是</w:t>
      </w:r>
      <w:r>
        <w:rPr>
          <w:rFonts w:hint="eastAsia" w:ascii="Times New Roman" w:hAnsi="Times New Roman" w:eastAsia="仿宋_GB2312" w:cs="仿宋_GB2312"/>
          <w:color w:val="auto"/>
          <w:sz w:val="30"/>
          <w:szCs w:val="30"/>
        </w:rPr>
        <w:t>追加</w:t>
      </w:r>
      <w:r>
        <w:rPr>
          <w:rFonts w:ascii="Times New Roman" w:hAnsi="Times New Roman" w:eastAsia="仿宋_GB2312" w:cs="Times New Roman"/>
          <w:color w:val="auto"/>
          <w:sz w:val="30"/>
          <w:szCs w:val="30"/>
        </w:rPr>
        <w:t>74,957,602.19</w:t>
      </w:r>
      <w:r>
        <w:rPr>
          <w:rFonts w:hint="eastAsia" w:ascii="Times New Roman" w:hAnsi="Times New Roman" w:eastAsia="仿宋_GB2312" w:cs="仿宋_GB2312"/>
          <w:color w:val="auto"/>
          <w:sz w:val="30"/>
          <w:szCs w:val="30"/>
        </w:rPr>
        <w:t>元预算用于发放购滨城促消费消费券。</w:t>
      </w:r>
      <w:r>
        <w:rPr>
          <w:rFonts w:ascii="Times New Roman" w:hAnsi="Times New Roman" w:eastAsia="仿宋_GB2312" w:cs="Times New Roman"/>
          <w:color w:val="auto"/>
          <w:sz w:val="30"/>
          <w:szCs w:val="30"/>
        </w:rPr>
        <w:br w:type="textWrapping"/>
      </w:r>
      <w:r>
        <w:rPr>
          <w:rFonts w:hint="eastAsia" w:ascii="Times New Roman" w:hAnsi="Times New Roman" w:eastAsia="仿宋_GB2312" w:cs="仿宋_GB2312"/>
          <w:sz w:val="30"/>
          <w:szCs w:val="30"/>
          <w:highlight w:val="none"/>
          <w:lang w:eastAsia="zh-CN"/>
        </w:rPr>
        <w:t>8. 商业服务业等支出（类）其他商业服务业等支出（款）其他商业服务业等支出（项）年初预算为0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元，追加预算为500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元，支出决算为5</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元，完成追加预算的100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%，决算数大于年初预算数的主要原因是追加预算用于海关补助。</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天津市滨海新区商务和投资促进局</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46,974,898.24</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1,123,950.16</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2023年追加部分预算用于生态论坛相关经费。</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42,415,494.93</w:t>
      </w:r>
      <w:r>
        <w:rPr>
          <w:rFonts w:hint="eastAsia" w:ascii="Times New Roman" w:hAnsi="Times New Roman" w:eastAsia="仿宋_GB2312" w:cs="仿宋_GB2312"/>
          <w:kern w:val="0"/>
          <w:sz w:val="30"/>
          <w:szCs w:val="30"/>
          <w:highlight w:val="none"/>
        </w:rPr>
        <w:t>元，</w:t>
      </w:r>
      <w:bookmarkStart w:id="0" w:name="_GoBack"/>
      <w:bookmarkEnd w:id="0"/>
      <w:r>
        <w:rPr>
          <w:rFonts w:hint="eastAsia" w:ascii="Times New Roman" w:hAnsi="Times New Roman" w:eastAsia="仿宋_GB2312" w:cs="仿宋_GB2312"/>
          <w:kern w:val="0"/>
          <w:sz w:val="30"/>
          <w:szCs w:val="30"/>
          <w:highlight w:val="none"/>
        </w:rPr>
        <w:t>主要包括</w:t>
      </w:r>
      <w:r>
        <w:rPr>
          <w:rFonts w:hint="eastAsia" w:ascii="Times New Roman" w:hAnsi="Times New Roman" w:eastAsia="仿宋_GB2312" w:cs="仿宋_GB2312"/>
          <w:sz w:val="30"/>
          <w:szCs w:val="30"/>
          <w:highlight w:val="none"/>
          <w:lang w:eastAsia="zh-CN"/>
        </w:rPr>
        <w:t>基本工资、津贴补贴、奖金、机关事业单位基本养老保险缴费、职业年金缴费、职工基本医疗保险缴费、公务员医疗补助缴费、其他社会保障缴费、住房公积金、其他工资福利支出、退休费、抚恤金、生活补助、奖励金；</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4,559,403.31</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办公费、邮电费、差旅费、公务接待费、委托业务费、工会经费、福利费、公务用车运行维护费、其他交通费用。</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pPr>
        <w:autoSpaceDE w:val="0"/>
        <w:autoSpaceDN w:val="0"/>
        <w:adjustRightInd w:val="0"/>
        <w:spacing w:line="60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天津市滨海新区商务和投资促进局2023年度无政府性基金预算财政拨款收入、支出和结转结余。</w:t>
      </w:r>
      <w:r>
        <w:rPr>
          <w:rFonts w:hint="eastAsia" w:ascii="Times New Roman" w:hAnsi="Times New Roman" w:eastAsia="仿宋_GB2312" w:cs="仿宋_GB2312"/>
          <w:sz w:val="30"/>
          <w:szCs w:val="30"/>
          <w:highlight w:val="none"/>
          <w:lang w:val="en-US" w:eastAsia="zh-CN"/>
        </w:rPr>
        <w:tab/>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天津市滨海新区商务和投资促进局2023年度无国有资本经营预算财政拨款收入、支出和结转结余。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pPr>
        <w:autoSpaceDE w:val="0"/>
        <w:autoSpaceDN w:val="0"/>
        <w:adjustRightInd w:val="0"/>
        <w:spacing w:line="600" w:lineRule="exact"/>
        <w:ind w:firstLine="600"/>
        <w:jc w:val="left"/>
        <w:rPr>
          <w:rFonts w:hint="eastAsia" w:ascii="Times New Roman" w:hAnsi="Times New Roman" w:eastAsia="仿宋_GB2312" w:cs="Times New Roman"/>
          <w:kern w:val="0"/>
          <w:sz w:val="30"/>
          <w:szCs w:val="30"/>
          <w:lang w:val="en-US" w:eastAsia="zh-CN"/>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247,300.00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color w:val="auto"/>
          <w:sz w:val="30"/>
          <w:szCs w:val="30"/>
        </w:rPr>
        <w:t>追加</w:t>
      </w:r>
      <w:r>
        <w:rPr>
          <w:rFonts w:hint="eastAsia" w:ascii="Times New Roman" w:hAnsi="Times New Roman" w:eastAsia="仿宋_GB2312" w:cs="仿宋_GB2312"/>
          <w:color w:val="auto"/>
          <w:sz w:val="30"/>
          <w:szCs w:val="30"/>
          <w:lang w:val="en-US" w:eastAsia="zh-CN"/>
        </w:rPr>
        <w:t>预算</w:t>
      </w:r>
      <w:r>
        <w:rPr>
          <w:rFonts w:ascii="Times New Roman" w:hAnsi="Times New Roman" w:eastAsia="仿宋_GB2312" w:cs="Times New Roman"/>
          <w:color w:val="auto"/>
          <w:sz w:val="30"/>
          <w:szCs w:val="30"/>
        </w:rPr>
        <w:t>838</w:t>
      </w:r>
      <w:r>
        <w:rPr>
          <w:rFonts w:hint="eastAsia" w:ascii="Times New Roman" w:hAnsi="Times New Roman" w:eastAsia="仿宋_GB2312" w:cs="Times New Roman"/>
          <w:color w:val="auto"/>
          <w:sz w:val="30"/>
          <w:szCs w:val="30"/>
          <w:lang w:val="en-US" w:eastAsia="zh-CN"/>
        </w:rPr>
        <w:t>,</w:t>
      </w:r>
      <w:r>
        <w:rPr>
          <w:rFonts w:ascii="Times New Roman" w:hAnsi="Times New Roman" w:eastAsia="仿宋_GB2312" w:cs="Times New Roman"/>
          <w:color w:val="auto"/>
          <w:sz w:val="30"/>
          <w:szCs w:val="30"/>
        </w:rPr>
        <w:t>814.53</w:t>
      </w:r>
      <w:r>
        <w:rPr>
          <w:rFonts w:hint="eastAsia" w:ascii="Times New Roman" w:hAnsi="Times New Roman" w:eastAsia="仿宋_GB2312" w:cs="仿宋_GB2312"/>
          <w:color w:val="auto"/>
          <w:sz w:val="30"/>
          <w:szCs w:val="30"/>
        </w:rPr>
        <w:t>元</w:t>
      </w:r>
      <w:r>
        <w:rPr>
          <w:rFonts w:hint="eastAsia" w:ascii="Times New Roman" w:hAnsi="Times New Roman" w:eastAsia="仿宋_GB2312" w:cs="仿宋_GB2312"/>
          <w:color w:val="auto"/>
          <w:sz w:val="30"/>
          <w:szCs w:val="30"/>
          <w:lang w:eastAsia="zh-CN"/>
        </w:rPr>
        <w:t>，</w:t>
      </w:r>
      <w:r>
        <w:rPr>
          <w:rFonts w:hint="eastAsia" w:ascii="Times New Roman" w:hAnsi="Times New Roman" w:eastAsia="仿宋_GB2312" w:cs="仿宋_GB2312"/>
          <w:kern w:val="0"/>
          <w:sz w:val="30"/>
          <w:szCs w:val="30"/>
          <w:highlight w:val="none"/>
        </w:rPr>
        <w:t>支出决算</w:t>
      </w:r>
      <w:r>
        <w:rPr>
          <w:rFonts w:hint="eastAsia" w:ascii="Times New Roman" w:hAnsi="Times New Roman" w:eastAsia="仿宋_GB2312" w:cs="Times New Roman"/>
          <w:kern w:val="0"/>
          <w:sz w:val="30"/>
          <w:szCs w:val="30"/>
          <w:highlight w:val="none"/>
          <w:lang w:eastAsia="zh-CN"/>
        </w:rPr>
        <w:t>1,085,786.69</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Times New Roman"/>
          <w:kern w:val="0"/>
          <w:sz w:val="30"/>
          <w:szCs w:val="30"/>
          <w:highlight w:val="none"/>
          <w:lang w:eastAsia="zh-CN"/>
        </w:rPr>
        <w:t>838,486.69</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439.06</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1,050,805.22</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3003.89</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大于</w:t>
      </w:r>
      <w:r>
        <w:rPr>
          <w:rFonts w:hint="eastAsia" w:ascii="Times New Roman" w:hAnsi="Times New Roman" w:eastAsia="仿宋_GB2312" w:cs="仿宋_GB2312"/>
          <w:kern w:val="0"/>
          <w:sz w:val="30"/>
          <w:szCs w:val="30"/>
          <w:highlight w:val="none"/>
        </w:rPr>
        <w:t>预算数的主要原因是：</w:t>
      </w:r>
      <w:r>
        <w:rPr>
          <w:rFonts w:ascii="Times New Roman" w:hAnsi="Times New Roman" w:eastAsia="仿宋_GB2312" w:cs="Times New Roman"/>
          <w:color w:val="auto"/>
          <w:sz w:val="30"/>
          <w:szCs w:val="30"/>
        </w:rPr>
        <w:t>2023</w:t>
      </w:r>
      <w:r>
        <w:rPr>
          <w:rFonts w:hint="eastAsia" w:ascii="Times New Roman" w:hAnsi="Times New Roman" w:eastAsia="仿宋_GB2312" w:cs="仿宋_GB2312"/>
          <w:color w:val="auto"/>
          <w:sz w:val="30"/>
          <w:szCs w:val="30"/>
        </w:rPr>
        <w:t>年增加</w:t>
      </w:r>
      <w:r>
        <w:rPr>
          <w:rFonts w:ascii="Times New Roman" w:hAnsi="Times New Roman" w:eastAsia="仿宋_GB2312" w:cs="Times New Roman"/>
          <w:color w:val="auto"/>
          <w:sz w:val="30"/>
          <w:szCs w:val="30"/>
        </w:rPr>
        <w:t>8</w:t>
      </w:r>
      <w:r>
        <w:rPr>
          <w:rFonts w:hint="eastAsia" w:ascii="Times New Roman" w:hAnsi="Times New Roman" w:eastAsia="仿宋_GB2312" w:cs="仿宋_GB2312"/>
          <w:color w:val="auto"/>
          <w:sz w:val="30"/>
          <w:szCs w:val="30"/>
        </w:rPr>
        <w:t>个团组</w:t>
      </w:r>
      <w:r>
        <w:rPr>
          <w:rFonts w:ascii="Times New Roman" w:hAnsi="Times New Roman" w:eastAsia="仿宋_GB2312" w:cs="Times New Roman"/>
          <w:color w:val="auto"/>
          <w:sz w:val="30"/>
          <w:szCs w:val="30"/>
        </w:rPr>
        <w:t>19</w:t>
      </w:r>
      <w:r>
        <w:rPr>
          <w:rFonts w:hint="eastAsia" w:ascii="Times New Roman" w:hAnsi="Times New Roman" w:eastAsia="仿宋_GB2312" w:cs="仿宋_GB2312"/>
          <w:color w:val="auto"/>
          <w:sz w:val="30"/>
          <w:szCs w:val="30"/>
        </w:rPr>
        <w:t>名人员的因公出国任务，追加</w:t>
      </w:r>
      <w:r>
        <w:rPr>
          <w:rFonts w:ascii="Times New Roman" w:hAnsi="Times New Roman" w:eastAsia="仿宋_GB2312" w:cs="Times New Roman"/>
          <w:color w:val="auto"/>
          <w:sz w:val="30"/>
          <w:szCs w:val="30"/>
        </w:rPr>
        <w:t>838</w:t>
      </w:r>
      <w:r>
        <w:rPr>
          <w:rFonts w:hint="eastAsia" w:ascii="Times New Roman" w:hAnsi="Times New Roman" w:eastAsia="仿宋_GB2312" w:cs="Times New Roman"/>
          <w:color w:val="auto"/>
          <w:sz w:val="30"/>
          <w:szCs w:val="30"/>
          <w:lang w:val="en-US" w:eastAsia="zh-CN"/>
        </w:rPr>
        <w:t>,</w:t>
      </w:r>
      <w:r>
        <w:rPr>
          <w:rFonts w:ascii="Times New Roman" w:hAnsi="Times New Roman" w:eastAsia="仿宋_GB2312" w:cs="Times New Roman"/>
          <w:color w:val="auto"/>
          <w:sz w:val="30"/>
          <w:szCs w:val="30"/>
        </w:rPr>
        <w:t>814.53</w:t>
      </w:r>
      <w:r>
        <w:rPr>
          <w:rFonts w:hint="eastAsia" w:ascii="Times New Roman" w:hAnsi="Times New Roman" w:eastAsia="仿宋_GB2312" w:cs="仿宋_GB2312"/>
          <w:color w:val="auto"/>
          <w:sz w:val="30"/>
          <w:szCs w:val="30"/>
        </w:rPr>
        <w:t>元用于支付因公出国经费。</w:t>
      </w:r>
      <w:r>
        <w:rPr>
          <w:rFonts w:hint="eastAsia" w:ascii="Times New Roman" w:hAnsi="Times New Roman" w:eastAsia="仿宋_GB2312" w:cs="仿宋_GB2312"/>
          <w:color w:val="auto"/>
          <w:kern w:val="0"/>
          <w:sz w:val="30"/>
          <w:szCs w:val="30"/>
        </w:rPr>
        <w:t>决</w:t>
      </w:r>
      <w:r>
        <w:rPr>
          <w:rFonts w:hint="eastAsia" w:ascii="Times New Roman" w:hAnsi="Times New Roman" w:eastAsia="仿宋_GB2312" w:cs="仿宋_GB2312"/>
          <w:kern w:val="0"/>
          <w:sz w:val="30"/>
          <w:szCs w:val="30"/>
        </w:rPr>
        <w:t>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ascii="Times New Roman" w:hAnsi="Times New Roman" w:eastAsia="仿宋_GB2312" w:cs="Times New Roman"/>
          <w:sz w:val="30"/>
          <w:szCs w:val="30"/>
        </w:rPr>
        <w:t>2022</w:t>
      </w:r>
      <w:r>
        <w:rPr>
          <w:rFonts w:hint="eastAsia" w:ascii="Times New Roman" w:hAnsi="Times New Roman" w:eastAsia="仿宋_GB2312" w:cs="仿宋_GB2312"/>
          <w:sz w:val="30"/>
          <w:szCs w:val="30"/>
        </w:rPr>
        <w:t>年无出国任务</w:t>
      </w:r>
      <w:r>
        <w:rPr>
          <w:rFonts w:hint="eastAsia" w:ascii="Times New Roman" w:hAnsi="Times New Roman" w:eastAsia="仿宋_GB2312" w:cs="仿宋_GB2312"/>
          <w:sz w:val="30"/>
          <w:szCs w:val="30"/>
          <w:lang w:eastAsia="zh-CN"/>
        </w:rPr>
        <w:t>。</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p>
    <w:p>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pPr>
        <w:autoSpaceDE w:val="0"/>
        <w:autoSpaceDN w:val="0"/>
        <w:adjustRightInd w:val="0"/>
        <w:spacing w:line="600" w:lineRule="exact"/>
        <w:ind w:firstLine="600"/>
        <w:jc w:val="left"/>
        <w:rPr>
          <w:rFonts w:hint="eastAsia" w:ascii="Times New Roman" w:hAnsi="Times New Roman" w:eastAsia="仿宋_GB2312" w:cs="仿宋_GB2312"/>
          <w:color w:val="auto"/>
          <w:sz w:val="30"/>
          <w:szCs w:val="30"/>
          <w:highlight w:val="none"/>
          <w:lang w:eastAsia="zh-CN"/>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200,000.00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color w:val="auto"/>
          <w:sz w:val="30"/>
          <w:szCs w:val="30"/>
        </w:rPr>
        <w:t>追加</w:t>
      </w:r>
      <w:r>
        <w:rPr>
          <w:rFonts w:hint="eastAsia" w:ascii="Times New Roman" w:hAnsi="Times New Roman" w:eastAsia="仿宋_GB2312" w:cs="仿宋_GB2312"/>
          <w:color w:val="auto"/>
          <w:sz w:val="30"/>
          <w:szCs w:val="30"/>
          <w:lang w:val="en-US" w:eastAsia="zh-CN"/>
        </w:rPr>
        <w:t>预算</w:t>
      </w:r>
      <w:r>
        <w:rPr>
          <w:rFonts w:ascii="Times New Roman" w:hAnsi="Times New Roman" w:eastAsia="仿宋_GB2312" w:cs="Times New Roman"/>
          <w:color w:val="auto"/>
          <w:sz w:val="30"/>
          <w:szCs w:val="30"/>
        </w:rPr>
        <w:t>838</w:t>
      </w:r>
      <w:r>
        <w:rPr>
          <w:rFonts w:hint="eastAsia" w:ascii="Times New Roman" w:hAnsi="Times New Roman" w:eastAsia="仿宋_GB2312" w:cs="Times New Roman"/>
          <w:color w:val="auto"/>
          <w:sz w:val="30"/>
          <w:szCs w:val="30"/>
          <w:lang w:val="en-US" w:eastAsia="zh-CN"/>
        </w:rPr>
        <w:t>,</w:t>
      </w:r>
      <w:r>
        <w:rPr>
          <w:rFonts w:ascii="Times New Roman" w:hAnsi="Times New Roman" w:eastAsia="仿宋_GB2312" w:cs="Times New Roman"/>
          <w:color w:val="auto"/>
          <w:sz w:val="30"/>
          <w:szCs w:val="30"/>
        </w:rPr>
        <w:t>814.53</w:t>
      </w:r>
      <w:r>
        <w:rPr>
          <w:rFonts w:hint="eastAsia" w:ascii="Times New Roman" w:hAnsi="Times New Roman" w:eastAsia="仿宋_GB2312" w:cs="仿宋_GB2312"/>
          <w:color w:val="auto"/>
          <w:sz w:val="30"/>
          <w:szCs w:val="30"/>
        </w:rPr>
        <w:t>元</w:t>
      </w:r>
      <w:r>
        <w:rPr>
          <w:rFonts w:hint="eastAsia" w:ascii="Times New Roman" w:hAnsi="Times New Roman" w:eastAsia="仿宋_GB2312" w:cs="仿宋_GB2312"/>
          <w:color w:val="auto"/>
          <w:sz w:val="30"/>
          <w:szCs w:val="30"/>
          <w:lang w:eastAsia="zh-CN"/>
        </w:rPr>
        <w:t>，</w:t>
      </w:r>
      <w:r>
        <w:rPr>
          <w:rFonts w:hint="eastAsia" w:ascii="Times New Roman" w:hAnsi="Times New Roman" w:eastAsia="仿宋_GB2312" w:cs="仿宋_GB2312"/>
          <w:kern w:val="0"/>
          <w:sz w:val="30"/>
          <w:szCs w:val="30"/>
          <w:highlight w:val="none"/>
        </w:rPr>
        <w:t>支出决算</w:t>
      </w:r>
      <w:r>
        <w:rPr>
          <w:rFonts w:hint="eastAsia" w:ascii="Times New Roman" w:hAnsi="Times New Roman" w:eastAsia="仿宋_GB2312" w:cs="Times New Roman"/>
          <w:kern w:val="0"/>
          <w:sz w:val="30"/>
          <w:szCs w:val="30"/>
          <w:highlight w:val="none"/>
          <w:lang w:eastAsia="zh-CN"/>
        </w:rPr>
        <w:t>1,038,814.53</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Times New Roman"/>
          <w:kern w:val="0"/>
          <w:sz w:val="30"/>
          <w:szCs w:val="30"/>
          <w:highlight w:val="none"/>
          <w:lang w:eastAsia="zh-CN"/>
        </w:rPr>
        <w:t>838,814.53</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rPr>
        <w:t>完成预算的</w:t>
      </w:r>
      <w:r>
        <w:rPr>
          <w:rFonts w:ascii="Times New Roman" w:hAnsi="Times New Roman" w:eastAsia="仿宋_GB2312" w:cs="Times New Roman"/>
          <w:kern w:val="0"/>
          <w:sz w:val="30"/>
          <w:szCs w:val="30"/>
        </w:rPr>
        <w:t>519.41</w:t>
      </w:r>
      <w:r>
        <w:rPr>
          <w:rFonts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ascii="Times New Roman" w:hAnsi="Times New Roman" w:eastAsia="仿宋_GB2312" w:cs="Times New Roman"/>
          <w:kern w:val="0"/>
          <w:sz w:val="30"/>
          <w:szCs w:val="30"/>
        </w:rPr>
        <w:t>1,038,814.53</w:t>
      </w:r>
      <w:r>
        <w:rPr>
          <w:rFonts w:hint="eastAsia" w:ascii="Times New Roman" w:hAnsi="Times New Roman" w:eastAsia="仿宋_GB2312" w:cs="仿宋_GB2312"/>
          <w:kern w:val="0"/>
          <w:sz w:val="30"/>
          <w:szCs w:val="30"/>
        </w:rPr>
        <w:t>元，</w:t>
      </w:r>
      <w:r>
        <w:rPr>
          <w:rFonts w:hint="eastAsia" w:ascii="Times New Roman" w:hAnsi="Times New Roman" w:eastAsia="仿宋_GB2312" w:cs="仿宋_GB2312"/>
          <w:sz w:val="30"/>
          <w:szCs w:val="30"/>
        </w:rPr>
        <w:t>增长</w:t>
      </w:r>
      <w:r>
        <w:rPr>
          <w:rFonts w:hint="eastAsia" w:ascii="Times New Roman" w:hAnsi="Times New Roman" w:eastAsia="仿宋_GB2312" w:cs="仿宋_GB2312"/>
          <w:sz w:val="30"/>
          <w:szCs w:val="30"/>
          <w:lang w:val="en-US" w:eastAsia="zh-CN"/>
        </w:rPr>
        <w:t>10</w:t>
      </w:r>
      <w:r>
        <w:rPr>
          <w:rFonts w:ascii="Times New Roman" w:hAnsi="Times New Roman" w:eastAsia="仿宋_GB2312" w:cs="Times New Roman"/>
          <w:kern w:val="0"/>
          <w:sz w:val="30"/>
          <w:szCs w:val="30"/>
        </w:rPr>
        <w:t>0.00</w:t>
      </w:r>
      <w:r>
        <w:rPr>
          <w:rFonts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大于</w:t>
      </w:r>
      <w:r>
        <w:rPr>
          <w:rFonts w:hint="eastAsia" w:ascii="Times New Roman" w:hAnsi="Times New Roman" w:eastAsia="仿宋_GB2312" w:cs="仿宋_GB2312"/>
          <w:kern w:val="0"/>
          <w:sz w:val="30"/>
          <w:szCs w:val="30"/>
        </w:rPr>
        <w:t>预算数的主要原因是：</w:t>
      </w:r>
      <w:r>
        <w:rPr>
          <w:rFonts w:ascii="Times New Roman" w:hAnsi="Times New Roman" w:eastAsia="仿宋_GB2312" w:cs="Times New Roman"/>
          <w:color w:val="auto"/>
          <w:sz w:val="30"/>
          <w:szCs w:val="30"/>
        </w:rPr>
        <w:t>2023</w:t>
      </w:r>
      <w:r>
        <w:rPr>
          <w:rFonts w:hint="eastAsia" w:ascii="Times New Roman" w:hAnsi="Times New Roman" w:eastAsia="仿宋_GB2312" w:cs="仿宋_GB2312"/>
          <w:color w:val="auto"/>
          <w:sz w:val="30"/>
          <w:szCs w:val="30"/>
        </w:rPr>
        <w:t>年增加</w:t>
      </w:r>
      <w:r>
        <w:rPr>
          <w:rFonts w:ascii="Times New Roman" w:hAnsi="Times New Roman" w:eastAsia="仿宋_GB2312" w:cs="Times New Roman"/>
          <w:color w:val="auto"/>
          <w:sz w:val="30"/>
          <w:szCs w:val="30"/>
        </w:rPr>
        <w:t>8</w:t>
      </w:r>
      <w:r>
        <w:rPr>
          <w:rFonts w:hint="eastAsia" w:ascii="Times New Roman" w:hAnsi="Times New Roman" w:eastAsia="仿宋_GB2312" w:cs="仿宋_GB2312"/>
          <w:color w:val="auto"/>
          <w:sz w:val="30"/>
          <w:szCs w:val="30"/>
        </w:rPr>
        <w:t>个团组</w:t>
      </w:r>
      <w:r>
        <w:rPr>
          <w:rFonts w:ascii="Times New Roman" w:hAnsi="Times New Roman" w:eastAsia="仿宋_GB2312" w:cs="Times New Roman"/>
          <w:color w:val="auto"/>
          <w:sz w:val="30"/>
          <w:szCs w:val="30"/>
        </w:rPr>
        <w:t>19</w:t>
      </w:r>
      <w:r>
        <w:rPr>
          <w:rFonts w:hint="eastAsia" w:ascii="Times New Roman" w:hAnsi="Times New Roman" w:eastAsia="仿宋_GB2312" w:cs="仿宋_GB2312"/>
          <w:color w:val="auto"/>
          <w:sz w:val="30"/>
          <w:szCs w:val="30"/>
        </w:rPr>
        <w:t>名人员的因公出国任务，追加</w:t>
      </w:r>
      <w:r>
        <w:rPr>
          <w:rFonts w:ascii="Times New Roman" w:hAnsi="Times New Roman" w:eastAsia="仿宋_GB2312" w:cs="Times New Roman"/>
          <w:color w:val="auto"/>
          <w:sz w:val="30"/>
          <w:szCs w:val="30"/>
        </w:rPr>
        <w:t>838</w:t>
      </w:r>
      <w:r>
        <w:rPr>
          <w:rFonts w:hint="eastAsia" w:ascii="Times New Roman" w:hAnsi="Times New Roman" w:eastAsia="仿宋_GB2312" w:cs="Times New Roman"/>
          <w:color w:val="auto"/>
          <w:sz w:val="30"/>
          <w:szCs w:val="30"/>
          <w:lang w:val="en-US" w:eastAsia="zh-CN"/>
        </w:rPr>
        <w:t>,</w:t>
      </w:r>
      <w:r>
        <w:rPr>
          <w:rFonts w:ascii="Times New Roman" w:hAnsi="Times New Roman" w:eastAsia="仿宋_GB2312" w:cs="Times New Roman"/>
          <w:color w:val="auto"/>
          <w:sz w:val="30"/>
          <w:szCs w:val="30"/>
        </w:rPr>
        <w:t>814.53</w:t>
      </w:r>
      <w:r>
        <w:rPr>
          <w:rFonts w:hint="eastAsia" w:ascii="Times New Roman" w:hAnsi="Times New Roman" w:eastAsia="仿宋_GB2312" w:cs="仿宋_GB2312"/>
          <w:color w:val="auto"/>
          <w:sz w:val="30"/>
          <w:szCs w:val="30"/>
        </w:rPr>
        <w:t>元用于支付因公出国经费。</w:t>
      </w:r>
      <w:r>
        <w:rPr>
          <w:rFonts w:hint="eastAsia" w:ascii="Times New Roman" w:hAnsi="Times New Roman" w:eastAsia="仿宋_GB2312" w:cs="仿宋_GB2312"/>
          <w:color w:val="auto"/>
          <w:kern w:val="0"/>
          <w:sz w:val="30"/>
          <w:szCs w:val="30"/>
        </w:rPr>
        <w:t>决算数较上年</w:t>
      </w:r>
      <w:r>
        <w:rPr>
          <w:rFonts w:hint="eastAsia" w:ascii="Times New Roman" w:hAnsi="Times New Roman" w:eastAsia="仿宋_GB2312" w:cs="仿宋_GB2312"/>
          <w:color w:val="auto"/>
          <w:sz w:val="30"/>
          <w:szCs w:val="30"/>
        </w:rPr>
        <w:t>增加</w:t>
      </w:r>
      <w:r>
        <w:rPr>
          <w:rFonts w:hint="eastAsia" w:ascii="Times New Roman" w:hAnsi="Times New Roman" w:eastAsia="仿宋_GB2312" w:cs="仿宋_GB2312"/>
          <w:color w:val="auto"/>
          <w:kern w:val="0"/>
          <w:sz w:val="30"/>
          <w:szCs w:val="30"/>
        </w:rPr>
        <w:t>的主要原因是：</w:t>
      </w:r>
      <w:r>
        <w:rPr>
          <w:rFonts w:ascii="Times New Roman" w:hAnsi="Times New Roman" w:eastAsia="仿宋_GB2312" w:cs="Times New Roman"/>
          <w:color w:val="auto"/>
          <w:sz w:val="30"/>
          <w:szCs w:val="30"/>
        </w:rPr>
        <w:t>2022</w:t>
      </w:r>
      <w:r>
        <w:rPr>
          <w:rFonts w:hint="eastAsia" w:ascii="Times New Roman" w:hAnsi="Times New Roman" w:eastAsia="仿宋_GB2312" w:cs="仿宋_GB2312"/>
          <w:color w:val="auto"/>
          <w:sz w:val="30"/>
          <w:szCs w:val="30"/>
        </w:rPr>
        <w:t>年无出国任务。</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color w:val="auto"/>
          <w:kern w:val="0"/>
          <w:sz w:val="30"/>
          <w:szCs w:val="30"/>
          <w:highlight w:val="none"/>
        </w:rPr>
        <w:t>202</w:t>
      </w:r>
      <w:r>
        <w:rPr>
          <w:rFonts w:hint="eastAsia" w:ascii="Times New Roman" w:hAnsi="Times New Roman" w:eastAsia="仿宋_GB2312" w:cs="仿宋_GB2312"/>
          <w:color w:val="auto"/>
          <w:kern w:val="0"/>
          <w:sz w:val="30"/>
          <w:szCs w:val="30"/>
          <w:highlight w:val="none"/>
          <w:lang w:val="en-US" w:eastAsia="zh-CN"/>
        </w:rPr>
        <w:t>3</w:t>
      </w:r>
      <w:r>
        <w:rPr>
          <w:rFonts w:hint="eastAsia" w:ascii="Times New Roman" w:hAnsi="Times New Roman" w:eastAsia="仿宋_GB2312" w:cs="仿宋_GB2312"/>
          <w:color w:val="auto"/>
          <w:kern w:val="0"/>
          <w:sz w:val="30"/>
          <w:szCs w:val="30"/>
          <w:highlight w:val="none"/>
        </w:rPr>
        <w:t>年本</w:t>
      </w:r>
      <w:r>
        <w:rPr>
          <w:rFonts w:hint="eastAsia" w:ascii="Times New Roman" w:hAnsi="Times New Roman" w:eastAsia="仿宋_GB2312" w:cs="仿宋_GB2312"/>
          <w:kern w:val="0"/>
          <w:sz w:val="30"/>
          <w:szCs w:val="30"/>
          <w:highlight w:val="none"/>
        </w:rPr>
        <w:t>单位组织的出国团组</w:t>
      </w:r>
      <w:r>
        <w:rPr>
          <w:rFonts w:hint="eastAsia" w:ascii="Times New Roman" w:hAnsi="Times New Roman" w:eastAsia="仿宋_GB2312" w:cs="Times New Roman"/>
          <w:kern w:val="0"/>
          <w:sz w:val="30"/>
          <w:szCs w:val="30"/>
          <w:highlight w:val="none"/>
          <w:lang w:eastAsia="zh-CN"/>
        </w:rPr>
        <w:t>8</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19</w:t>
      </w:r>
      <w:r>
        <w:rPr>
          <w:rFonts w:hint="eastAsia" w:ascii="Times New Roman" w:hAnsi="Times New Roman" w:eastAsia="仿宋_GB2312" w:cs="仿宋_GB2312"/>
          <w:kern w:val="0"/>
          <w:sz w:val="30"/>
          <w:szCs w:val="30"/>
          <w:highlight w:val="none"/>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30,000.00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29,672.16</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327.84</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98.91</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97.89</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0.33</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厉行节约，压缩公务用车运行维护费支出。</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执法车使用年限增长，维修费用较去年增加。</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30,000.00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29,672.16</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327.84</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98.91</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97.89</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0.33</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厉行节约，压缩公务用车运行维护费支出。</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执法车使用年限增长，维修费用较去年增加。</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2</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val="en-US" w:eastAsia="zh-CN"/>
        </w:rPr>
        <w:t>且</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本年度未安排公务用车购置经费预算。</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17,300.00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17,300.00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，完成预算的</w:t>
      </w:r>
      <w:r>
        <w:rPr>
          <w:rFonts w:hint="eastAsia" w:ascii="Times New Roman" w:hAnsi="Times New Roman" w:eastAsia="仿宋_GB2312" w:cs="仿宋_GB2312"/>
          <w:kern w:val="0"/>
          <w:sz w:val="30"/>
          <w:szCs w:val="30"/>
          <w:highlight w:val="none"/>
          <w:lang w:eastAsia="zh-CN"/>
        </w:rPr>
        <w:t>100.0</w:t>
      </w:r>
      <w:r>
        <w:rPr>
          <w:rFonts w:hint="eastAsia" w:ascii="Times New Roman" w:hAnsi="Times New Roman" w:eastAsia="仿宋_GB2312" w:cs="仿宋_GB2312"/>
          <w:kern w:val="0"/>
          <w:sz w:val="30"/>
          <w:szCs w:val="30"/>
          <w:highlight w:val="none"/>
          <w:lang w:val="en-US" w:eastAsia="zh-CN"/>
        </w:rPr>
        <w:t>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11,892.80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219.94</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2022年因疫情影响等因素，公务接待活动减少，2023年接待任务增加。</w:t>
      </w:r>
    </w:p>
    <w:p>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11</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172</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pPr>
        <w:autoSpaceDE w:val="0"/>
        <w:autoSpaceDN w:val="0"/>
        <w:adjustRightInd w:val="0"/>
        <w:spacing w:line="58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highlight w:val="none"/>
          <w:lang w:eastAsia="zh-CN"/>
        </w:rPr>
        <w:t>天津市滨海新区商务和投资促进局</w:t>
      </w:r>
      <w:r>
        <w:rPr>
          <w:rFonts w:hint="eastAsia" w:ascii="Times New Roman" w:hAnsi="Times New Roman" w:eastAsia="宋体" w:cs="宋体"/>
          <w:kern w:val="0"/>
          <w:sz w:val="30"/>
          <w:szCs w:val="30"/>
          <w:highlight w:val="none"/>
          <w:lang w:eastAsia="zh-CN"/>
        </w:rPr>
        <w:t>2023</w:t>
      </w:r>
      <w:r>
        <w:rPr>
          <w:rFonts w:hint="eastAsia" w:ascii="Times New Roman" w:hAnsi="Times New Roman" w:eastAsia="仿宋_GB2312" w:cs="仿宋_GB2312"/>
          <w:kern w:val="0"/>
          <w:sz w:val="30"/>
          <w:szCs w:val="30"/>
          <w:highlight w:val="none"/>
        </w:rPr>
        <w:t>年度机关运行经费决算数</w:t>
      </w:r>
      <w:r>
        <w:rPr>
          <w:rFonts w:hint="eastAsia" w:ascii="Times New Roman" w:hAnsi="Times New Roman" w:eastAsia="仿宋_GB2312" w:cs="Times New Roman"/>
          <w:kern w:val="0"/>
          <w:sz w:val="30"/>
          <w:szCs w:val="30"/>
          <w:highlight w:val="none"/>
          <w:lang w:eastAsia="zh-CN"/>
        </w:rPr>
        <w:t>4,075,835.85</w:t>
      </w:r>
      <w:r>
        <w:rPr>
          <w:rFonts w:hint="eastAsia" w:ascii="Times New Roman" w:hAnsi="Times New Roman" w:eastAsia="仿宋_GB2312" w:cs="仿宋_GB2312"/>
          <w:kern w:val="0"/>
          <w:sz w:val="30"/>
          <w:szCs w:val="30"/>
          <w:highlight w:val="none"/>
        </w:rPr>
        <w:t>元，比</w:t>
      </w:r>
      <w:r>
        <w:rPr>
          <w:rFonts w:hint="eastAsia" w:ascii="Times New Roman" w:hAnsi="Times New Roman" w:eastAsia="仿宋_GB2312" w:cs="Times New Roman"/>
          <w:kern w:val="0"/>
          <w:sz w:val="30"/>
          <w:szCs w:val="30"/>
          <w:highlight w:val="none"/>
          <w:lang w:eastAsia="zh-CN"/>
        </w:rPr>
        <w:t>2022</w:t>
      </w:r>
      <w:r>
        <w:rPr>
          <w:rFonts w:hint="eastAsia" w:ascii="Times New Roman" w:hAnsi="Times New Roman" w:eastAsia="仿宋_GB2312" w:cs="仿宋_GB2312"/>
          <w:kern w:val="0"/>
          <w:sz w:val="30"/>
          <w:szCs w:val="30"/>
          <w:highlight w:val="none"/>
        </w:rPr>
        <w:t>年</w:t>
      </w:r>
      <w:r>
        <w:rPr>
          <w:rFonts w:hint="eastAsia" w:ascii="Times New Roman" w:hAnsi="Times New Roman" w:eastAsia="仿宋_GB2312" w:cs="仿宋_GB2312"/>
          <w:kern w:val="0"/>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443,226.77</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12.2</w:t>
      </w:r>
      <w:r>
        <w:rPr>
          <w:rFonts w:hint="eastAsia" w:ascii="Times New Roman" w:hAnsi="Times New Roman" w:eastAsia="仿宋_GB2312" w:cs="仿宋_GB2312"/>
          <w:kern w:val="0"/>
          <w:sz w:val="30"/>
          <w:szCs w:val="30"/>
          <w:highlight w:val="none"/>
          <w:lang w:val="en-US" w:eastAsia="zh-CN"/>
        </w:rPr>
        <w:t>0</w:t>
      </w:r>
      <w:r>
        <w:rPr>
          <w:rFonts w:hint="eastAsia" w:ascii="Times New Roman" w:hAnsi="Times New Roman" w:eastAsia="仿宋_GB2312" w:cs="Times New Roman"/>
          <w:kern w:val="0"/>
          <w:sz w:val="30"/>
          <w:szCs w:val="30"/>
          <w:highlight w:val="none"/>
          <w:lang w:eastAsia="zh-CN"/>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仿宋_GB2312" w:cs="仿宋_GB2312"/>
          <w:sz w:val="30"/>
          <w:szCs w:val="30"/>
          <w:highlight w:val="none"/>
          <w:lang w:eastAsia="zh-CN"/>
        </w:rPr>
        <w:t>2023年较2022年差旅费、接待费等费用明显增加。</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天津市滨海新区商务和投资促进局</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lang w:eastAsia="zh-CN"/>
        </w:rPr>
        <w:t>16,161,068.14</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lang w:eastAsia="zh-CN"/>
        </w:rPr>
        <w:t>115,646.00</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lang w:eastAsia="zh-CN"/>
        </w:rPr>
        <w:t>16,045,422.14</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26.26%</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lang w:eastAsia="zh-CN"/>
        </w:rPr>
        <w:t>4,243,739.14</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26.26%</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lang w:eastAsia="zh-CN"/>
        </w:rPr>
        <w:t>0.0</w:t>
      </w:r>
      <w:r>
        <w:rPr>
          <w:rFonts w:hint="eastAsia" w:ascii="Times New Roman" w:hAnsi="Times New Roman" w:eastAsia="仿宋_GB2312" w:cs="仿宋_GB2312"/>
          <w:sz w:val="30"/>
          <w:szCs w:val="30"/>
          <w:highlight w:val="none"/>
          <w:lang w:val="en-US" w:eastAsia="zh-CN"/>
        </w:rPr>
        <w:t>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lang w:eastAsia="zh-CN"/>
        </w:rPr>
        <w:t>0.0</w:t>
      </w:r>
      <w:r>
        <w:rPr>
          <w:rFonts w:hint="eastAsia" w:ascii="Times New Roman" w:hAnsi="Times New Roman" w:eastAsia="仿宋_GB2312" w:cs="仿宋_GB2312"/>
          <w:sz w:val="30"/>
          <w:szCs w:val="30"/>
          <w:highlight w:val="none"/>
          <w:lang w:val="en-US" w:eastAsia="zh-CN"/>
        </w:rPr>
        <w:t>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lang w:eastAsia="zh-CN"/>
        </w:rPr>
        <w:t>0.0</w:t>
      </w:r>
      <w:r>
        <w:rPr>
          <w:rFonts w:hint="eastAsia" w:ascii="Times New Roman" w:hAnsi="Times New Roman" w:eastAsia="仿宋_GB2312" w:cs="仿宋_GB2312"/>
          <w:sz w:val="30"/>
          <w:szCs w:val="30"/>
          <w:highlight w:val="none"/>
          <w:lang w:val="en-US" w:eastAsia="zh-CN"/>
        </w:rPr>
        <w:t>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pPr>
        <w:autoSpaceDE w:val="0"/>
        <w:autoSpaceDN w:val="0"/>
        <w:adjustRightInd w:val="0"/>
        <w:spacing w:line="600" w:lineRule="exact"/>
        <w:ind w:firstLine="600"/>
        <w:jc w:val="left"/>
        <w:rPr>
          <w:rFonts w:ascii="Times New Roman" w:hAnsi="Times New Roman" w:eastAsia="楷体" w:cs="Times New Roman"/>
          <w:kern w:val="0"/>
          <w:sz w:val="30"/>
          <w:szCs w:val="30"/>
          <w:highlight w:val="none"/>
        </w:rPr>
      </w:pP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天津市滨海新区商务和投资促进局2023年度无国有资产占有使用情况。</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根据预算绩效管理要求，天津市滨海新区商务和投资促进局2023年度已对12个区级项目开展绩效自评，涉及金额10530.87元，自评结果已随部门决算一并公开。</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本部门 2023年度未开展部门评价。</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天津市滨海新区商务和和投资促进局不属于乡、镇、街级单位，不涉及公开2023年度教育、医疗卫生、社会保障和就业、住房保障、涉农补贴等民生支出情况。</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p>
    <w:p>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NmMmE4ZTFhM2M2ZjIzNGRjY2NhOTkzZjc3NTFmMWY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302868"/>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1FB2672A"/>
    <w:rsid w:val="1FC81924"/>
    <w:rsid w:val="20146E7F"/>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4A2E0F"/>
    <w:rsid w:val="32672F3B"/>
    <w:rsid w:val="32AC088E"/>
    <w:rsid w:val="33032C66"/>
    <w:rsid w:val="332D3FC0"/>
    <w:rsid w:val="354D7E20"/>
    <w:rsid w:val="35747E49"/>
    <w:rsid w:val="358024D8"/>
    <w:rsid w:val="35823AFA"/>
    <w:rsid w:val="358C1096"/>
    <w:rsid w:val="35B6328D"/>
    <w:rsid w:val="35F44AE6"/>
    <w:rsid w:val="36144696"/>
    <w:rsid w:val="36580FD3"/>
    <w:rsid w:val="381E22EE"/>
    <w:rsid w:val="3A7C5F06"/>
    <w:rsid w:val="3AF76503"/>
    <w:rsid w:val="3B0209DD"/>
    <w:rsid w:val="3B0C198B"/>
    <w:rsid w:val="3B483C6E"/>
    <w:rsid w:val="3B695E7B"/>
    <w:rsid w:val="3B776F10"/>
    <w:rsid w:val="3B7C7A57"/>
    <w:rsid w:val="3B8E1539"/>
    <w:rsid w:val="3BBF1A53"/>
    <w:rsid w:val="3BC35C81"/>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6070B20"/>
    <w:rsid w:val="47727F60"/>
    <w:rsid w:val="485D29BF"/>
    <w:rsid w:val="49374433"/>
    <w:rsid w:val="49DA103E"/>
    <w:rsid w:val="4A2319E6"/>
    <w:rsid w:val="4A8E57CD"/>
    <w:rsid w:val="4B3D495D"/>
    <w:rsid w:val="4CA13CE1"/>
    <w:rsid w:val="4CD450D8"/>
    <w:rsid w:val="4D14664A"/>
    <w:rsid w:val="4D210FC7"/>
    <w:rsid w:val="4D720D77"/>
    <w:rsid w:val="4DB9688D"/>
    <w:rsid w:val="4E4E3945"/>
    <w:rsid w:val="4E8C7B5A"/>
    <w:rsid w:val="4F167E2F"/>
    <w:rsid w:val="4F391364"/>
    <w:rsid w:val="4FA424E7"/>
    <w:rsid w:val="4FBD62FD"/>
    <w:rsid w:val="4FD337AC"/>
    <w:rsid w:val="4FE523CE"/>
    <w:rsid w:val="50C32400"/>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1EF4230"/>
    <w:rsid w:val="620B43D3"/>
    <w:rsid w:val="624C1682"/>
    <w:rsid w:val="63B80927"/>
    <w:rsid w:val="643C1F0A"/>
    <w:rsid w:val="644D16E1"/>
    <w:rsid w:val="64925346"/>
    <w:rsid w:val="654D2EBE"/>
    <w:rsid w:val="654E5711"/>
    <w:rsid w:val="656942F9"/>
    <w:rsid w:val="659D6BF9"/>
    <w:rsid w:val="65B558C0"/>
    <w:rsid w:val="665D659A"/>
    <w:rsid w:val="667274BD"/>
    <w:rsid w:val="66BC2A82"/>
    <w:rsid w:val="672E57FA"/>
    <w:rsid w:val="68200AB4"/>
    <w:rsid w:val="68C169D0"/>
    <w:rsid w:val="6AE84FE4"/>
    <w:rsid w:val="6AF11BF3"/>
    <w:rsid w:val="6B4F5D3F"/>
    <w:rsid w:val="6B963EB9"/>
    <w:rsid w:val="6BBB51FE"/>
    <w:rsid w:val="6BF54B38"/>
    <w:rsid w:val="6C054650"/>
    <w:rsid w:val="6C1D5E3D"/>
    <w:rsid w:val="6C311BD0"/>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qFormat/>
    <w:uiPriority w:val="99"/>
    <w:rPr>
      <w:rFonts w:ascii="方正小标宋简体" w:eastAsia="方正小标宋简体"/>
      <w:kern w:val="0"/>
      <w:sz w:val="24"/>
      <w:szCs w:val="24"/>
    </w:rPr>
  </w:style>
  <w:style w:type="character" w:customStyle="1" w:styleId="10">
    <w:name w:val="标题 2 字符"/>
    <w:basedOn w:val="8"/>
    <w:link w:val="3"/>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6523</Words>
  <Characters>7701</Characters>
  <Lines>82</Lines>
  <Paragraphs>23</Paragraphs>
  <TotalTime>0</TotalTime>
  <ScaleCrop>false</ScaleCrop>
  <LinksUpToDate>false</LinksUpToDate>
  <CharactersWithSpaces>7737</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2023-08-11T16:11:00Z</dcterms:created>
  <dc:creator>office</dc:creator>
  <cp:lastModifiedBy>区商务和投促局</cp:lastModifiedBy>
  <dcterms:modified xsi:type="dcterms:W3CDTF">2024-09-19T14:30:05Z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A44E0A178634409BBBA50D5636087390_13</vt:lpwstr>
  </property>
</Properties>
</file>